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5D" w:rsidRDefault="00E5135D" w:rsidP="00115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84</w:t>
      </w:r>
    </w:p>
    <w:p w:rsidR="0011527A" w:rsidRDefault="0011527A" w:rsidP="00115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PERCEPCIÓN DE LA ATENCIÓN DE PACIENTES TRANSGÉ</w:t>
      </w:r>
      <w:r w:rsidR="00D64EDE" w:rsidRPr="0011527A">
        <w:rPr>
          <w:rFonts w:ascii="Times New Roman" w:eastAsia="Times New Roman" w:hAnsi="Times New Roman" w:cs="Times New Roman"/>
          <w:b/>
          <w:bCs/>
        </w:rPr>
        <w:t>NEROS Y SU TRATAMIENTO HORMONAL EN EL PERSONAL DE SALUD EN CHILE</w:t>
      </w:r>
    </w:p>
    <w:p w:rsidR="0011527A" w:rsidRDefault="00D64EDE" w:rsidP="0011527A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11527A">
        <w:rPr>
          <w:rFonts w:ascii="Times New Roman" w:eastAsia="Times New Roman" w:hAnsi="Times New Roman" w:cs="Times New Roman"/>
        </w:rPr>
        <w:t>A</w:t>
      </w:r>
      <w:r w:rsidR="0011527A">
        <w:rPr>
          <w:rFonts w:ascii="Times New Roman" w:eastAsia="Times New Roman" w:hAnsi="Times New Roman" w:cs="Times New Roman"/>
        </w:rPr>
        <w:t>ntonio Zapata Pizarro</w:t>
      </w:r>
      <w:r w:rsidRPr="0011527A">
        <w:rPr>
          <w:rFonts w:ascii="Times New Roman" w:eastAsia="Times New Roman" w:hAnsi="Times New Roman" w:cs="Times New Roman"/>
          <w:vertAlign w:val="superscript"/>
        </w:rPr>
        <w:t>1</w:t>
      </w:r>
      <w:r w:rsidRPr="0011527A">
        <w:rPr>
          <w:rFonts w:ascii="Times New Roman" w:eastAsia="Times New Roman" w:hAnsi="Times New Roman" w:cs="Times New Roman"/>
        </w:rPr>
        <w:t>, Juan Alvarado Villarroel</w:t>
      </w:r>
      <w:r w:rsidRPr="0011527A">
        <w:rPr>
          <w:rFonts w:ascii="Times New Roman" w:eastAsia="Times New Roman" w:hAnsi="Times New Roman" w:cs="Times New Roman"/>
          <w:vertAlign w:val="superscript"/>
        </w:rPr>
        <w:t>1</w:t>
      </w:r>
      <w:r w:rsidRPr="0011527A">
        <w:rPr>
          <w:rFonts w:ascii="Times New Roman" w:eastAsia="Times New Roman" w:hAnsi="Times New Roman" w:cs="Times New Roman"/>
        </w:rPr>
        <w:t xml:space="preserve">, Francisco </w:t>
      </w:r>
      <w:proofErr w:type="spellStart"/>
      <w:r w:rsidRPr="0011527A">
        <w:rPr>
          <w:rFonts w:ascii="Times New Roman" w:eastAsia="Times New Roman" w:hAnsi="Times New Roman" w:cs="Times New Roman"/>
        </w:rPr>
        <w:t>Leppes</w:t>
      </w:r>
      <w:proofErr w:type="spellEnd"/>
      <w:r w:rsidRPr="0011527A">
        <w:rPr>
          <w:rFonts w:ascii="Times New Roman" w:eastAsia="Times New Roman" w:hAnsi="Times New Roman" w:cs="Times New Roman"/>
        </w:rPr>
        <w:t xml:space="preserve"> Jenkis</w:t>
      </w:r>
      <w:r w:rsidRPr="0011527A">
        <w:rPr>
          <w:rFonts w:ascii="Times New Roman" w:eastAsia="Times New Roman" w:hAnsi="Times New Roman" w:cs="Times New Roman"/>
          <w:vertAlign w:val="superscript"/>
        </w:rPr>
        <w:t>1</w:t>
      </w:r>
      <w:r w:rsidRPr="0011527A">
        <w:rPr>
          <w:rFonts w:ascii="Times New Roman" w:eastAsia="Times New Roman" w:hAnsi="Times New Roman" w:cs="Times New Roman"/>
        </w:rPr>
        <w:t xml:space="preserve">, Diego </w:t>
      </w:r>
      <w:proofErr w:type="spellStart"/>
      <w:r w:rsidRPr="0011527A">
        <w:rPr>
          <w:rFonts w:ascii="Times New Roman" w:eastAsia="Times New Roman" w:hAnsi="Times New Roman" w:cs="Times New Roman"/>
        </w:rPr>
        <w:t>Pastén</w:t>
      </w:r>
      <w:proofErr w:type="spellEnd"/>
      <w:r w:rsidRPr="0011527A">
        <w:rPr>
          <w:rFonts w:ascii="Times New Roman" w:eastAsia="Times New Roman" w:hAnsi="Times New Roman" w:cs="Times New Roman"/>
        </w:rPr>
        <w:t xml:space="preserve"> Ahumada</w:t>
      </w:r>
      <w:r w:rsidRPr="0011527A">
        <w:rPr>
          <w:rFonts w:ascii="Times New Roman" w:eastAsia="Times New Roman" w:hAnsi="Times New Roman" w:cs="Times New Roman"/>
          <w:vertAlign w:val="superscript"/>
        </w:rPr>
        <w:t>2</w:t>
      </w:r>
      <w:r w:rsidRPr="0011527A">
        <w:rPr>
          <w:rFonts w:ascii="Times New Roman" w:eastAsia="Times New Roman" w:hAnsi="Times New Roman" w:cs="Times New Roman"/>
        </w:rPr>
        <w:t>, Javier Villalón Friedrich</w:t>
      </w:r>
      <w:r w:rsidRPr="0011527A">
        <w:rPr>
          <w:rFonts w:ascii="Times New Roman" w:eastAsia="Times New Roman" w:hAnsi="Times New Roman" w:cs="Times New Roman"/>
          <w:vertAlign w:val="superscript"/>
        </w:rPr>
        <w:t>3</w:t>
      </w:r>
      <w:r w:rsidRPr="0011527A">
        <w:rPr>
          <w:rFonts w:ascii="Times New Roman" w:eastAsia="Times New Roman" w:hAnsi="Times New Roman" w:cs="Times New Roman"/>
        </w:rPr>
        <w:t>, Franco Zapata Pizarro</w:t>
      </w:r>
      <w:r w:rsidRPr="0011527A">
        <w:rPr>
          <w:rFonts w:ascii="Times New Roman" w:eastAsia="Times New Roman" w:hAnsi="Times New Roman" w:cs="Times New Roman"/>
          <w:vertAlign w:val="superscript"/>
        </w:rPr>
        <w:t>4</w:t>
      </w:r>
      <w:r w:rsidRPr="0011527A">
        <w:rPr>
          <w:rFonts w:ascii="Times New Roman" w:eastAsia="Times New Roman" w:hAnsi="Times New Roman" w:cs="Times New Roman"/>
        </w:rPr>
        <w:t>, Bruno Peralta Jofré</w:t>
      </w:r>
      <w:r w:rsidRPr="0011527A">
        <w:rPr>
          <w:rFonts w:ascii="Times New Roman" w:eastAsia="Times New Roman" w:hAnsi="Times New Roman" w:cs="Times New Roman"/>
          <w:vertAlign w:val="superscript"/>
        </w:rPr>
        <w:t>1</w:t>
      </w:r>
    </w:p>
    <w:p w:rsidR="0011527A" w:rsidRDefault="00D64EDE" w:rsidP="001152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527A">
        <w:rPr>
          <w:rFonts w:ascii="Times New Roman" w:eastAsia="Times New Roman" w:hAnsi="Times New Roman" w:cs="Times New Roman"/>
          <w:vertAlign w:val="superscript"/>
        </w:rPr>
        <w:t>1</w:t>
      </w:r>
      <w:r w:rsidRPr="0011527A">
        <w:rPr>
          <w:rFonts w:ascii="Times New Roman" w:eastAsia="Times New Roman" w:hAnsi="Times New Roman" w:cs="Times New Roman"/>
        </w:rPr>
        <w:t xml:space="preserve">Hospital Dr. Leonardo Guzmán (Antofagasta) - Facultad de Medicina Universidad de Antofagasta, </w:t>
      </w:r>
      <w:r w:rsidRPr="0011527A">
        <w:rPr>
          <w:rFonts w:ascii="Times New Roman" w:eastAsia="Times New Roman" w:hAnsi="Times New Roman" w:cs="Times New Roman"/>
          <w:vertAlign w:val="superscript"/>
        </w:rPr>
        <w:t>2</w:t>
      </w:r>
      <w:r w:rsidRPr="0011527A">
        <w:rPr>
          <w:rFonts w:ascii="Times New Roman" w:eastAsia="Times New Roman" w:hAnsi="Times New Roman" w:cs="Times New Roman"/>
        </w:rPr>
        <w:t xml:space="preserve"> EDF Hospital de Tocopilla, </w:t>
      </w:r>
      <w:r w:rsidRPr="0011527A">
        <w:rPr>
          <w:rFonts w:ascii="Times New Roman" w:eastAsia="Times New Roman" w:hAnsi="Times New Roman" w:cs="Times New Roman"/>
          <w:vertAlign w:val="superscript"/>
        </w:rPr>
        <w:t>3</w:t>
      </w:r>
      <w:r w:rsidRPr="0011527A">
        <w:rPr>
          <w:rFonts w:ascii="Times New Roman" w:eastAsia="Times New Roman" w:hAnsi="Times New Roman" w:cs="Times New Roman"/>
        </w:rPr>
        <w:t xml:space="preserve"> EDF Hospital de Taltal, </w:t>
      </w:r>
      <w:r w:rsidRPr="0011527A">
        <w:rPr>
          <w:rFonts w:ascii="Times New Roman" w:eastAsia="Times New Roman" w:hAnsi="Times New Roman" w:cs="Times New Roman"/>
          <w:vertAlign w:val="superscript"/>
        </w:rPr>
        <w:t>4</w:t>
      </w:r>
      <w:r w:rsidRPr="0011527A">
        <w:rPr>
          <w:rFonts w:ascii="Times New Roman" w:eastAsia="Times New Roman" w:hAnsi="Times New Roman" w:cs="Times New Roman"/>
        </w:rPr>
        <w:t xml:space="preserve"> CESFAM Benjamín </w:t>
      </w:r>
      <w:proofErr w:type="spellStart"/>
      <w:r w:rsidRPr="0011527A">
        <w:rPr>
          <w:rFonts w:ascii="Times New Roman" w:eastAsia="Times New Roman" w:hAnsi="Times New Roman" w:cs="Times New Roman"/>
        </w:rPr>
        <w:t>Viel</w:t>
      </w:r>
      <w:proofErr w:type="spellEnd"/>
      <w:r w:rsidRPr="0011527A">
        <w:rPr>
          <w:rFonts w:ascii="Times New Roman" w:eastAsia="Times New Roman" w:hAnsi="Times New Roman" w:cs="Times New Roman"/>
        </w:rPr>
        <w:t xml:space="preserve"> Santiago</w:t>
      </w:r>
    </w:p>
    <w:p w:rsidR="00BE570C" w:rsidRPr="0011527A" w:rsidRDefault="00D64EDE" w:rsidP="0011527A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11527A">
        <w:rPr>
          <w:b/>
          <w:sz w:val="22"/>
          <w:szCs w:val="22"/>
        </w:rPr>
        <w:t>Objetivos.</w:t>
      </w:r>
    </w:p>
    <w:p w:rsidR="00BE570C" w:rsidRPr="0011527A" w:rsidRDefault="00D64EDE" w:rsidP="0011527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1527A">
        <w:rPr>
          <w:sz w:val="22"/>
          <w:szCs w:val="22"/>
        </w:rPr>
        <w:t>Evaluar la percepción de la atención de salud y del trata</w:t>
      </w:r>
      <w:r w:rsidR="0011527A">
        <w:rPr>
          <w:sz w:val="22"/>
          <w:szCs w:val="22"/>
        </w:rPr>
        <w:t>miento hormonal de personas tran</w:t>
      </w:r>
      <w:r w:rsidRPr="0011527A">
        <w:rPr>
          <w:sz w:val="22"/>
          <w:szCs w:val="22"/>
        </w:rPr>
        <w:t>sgéneros, por profesionales sanitarios en centros de salud de Chile y su conocimiento sobre normativas del trato a estos pacientes.</w:t>
      </w:r>
    </w:p>
    <w:p w:rsidR="00BE570C" w:rsidRPr="0011527A" w:rsidRDefault="00D64EDE" w:rsidP="0011527A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11527A">
        <w:rPr>
          <w:b/>
          <w:sz w:val="22"/>
          <w:szCs w:val="22"/>
        </w:rPr>
        <w:t>Diseño y Metodología.</w:t>
      </w:r>
    </w:p>
    <w:p w:rsidR="00BE570C" w:rsidRPr="0011527A" w:rsidRDefault="00D64EDE" w:rsidP="0011527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1527A">
        <w:rPr>
          <w:sz w:val="22"/>
          <w:szCs w:val="22"/>
        </w:rPr>
        <w:t>Se aplicó una encuesta a internos de medicina de 7° año y profesionales de salud de 4 ciudades, se evaluó oportunidad de atención de personas transgéneros en su práctica clínica, si habían recibido algún tipo de educación respecto a la atención de salud de personas transgéneros, conocimiento de las circulares 21 y 34 respecto al trato de estos pacientes en los centros de salud ambulatorios y hospitalarios, y su registro nominal en las fichas clínicas y documentos médicos, además de su percepción respecto al acceso a tratamiento hormonales en personas transgéneros mayores y menores de edad.</w:t>
      </w:r>
    </w:p>
    <w:p w:rsidR="00BE570C" w:rsidRPr="0011527A" w:rsidRDefault="00D64EDE" w:rsidP="0011527A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11527A">
        <w:rPr>
          <w:b/>
          <w:sz w:val="22"/>
          <w:szCs w:val="22"/>
        </w:rPr>
        <w:t>Resultados.</w:t>
      </w:r>
    </w:p>
    <w:p w:rsidR="00BE570C" w:rsidRPr="0011527A" w:rsidRDefault="00D64EDE" w:rsidP="0011527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1527A">
        <w:rPr>
          <w:sz w:val="22"/>
          <w:szCs w:val="22"/>
        </w:rPr>
        <w:t>123 encuestados, 56% había atendido a alguna persona transgénero en su práctica profesional, 95,6% afirma apoyo o empatía estos pacientes, mientras el 4,3% afirma sensación de rechazo u odio en esa atención. 84% de los profesionales no ha tenido formación profesional sobre el manejo de pacientes transgéneros, el 96% consideró importante recibir información sobre estos temas. 14% de los profesionales trataría a las personas con su nombre legal y no el social en la atención de salud. En el caso de una persona transgénero femenino hospitalizado un 10% hospitalizaría al paciente en el sector de hombres. 77% desconoce la existencia de las circulares 21 y 34 del Ministerio de Salud sobre el trato de personas transgéneros en los centros de salud, un 16% no está de acuerdo con el uso de recursos de la salud pública para la atención en la transición de un género a otro y un 12% no apoya el tratamiento hormonal en menores de edad.</w:t>
      </w:r>
    </w:p>
    <w:p w:rsidR="00BE570C" w:rsidRPr="0011527A" w:rsidRDefault="00D64EDE" w:rsidP="0011527A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11527A">
        <w:rPr>
          <w:b/>
          <w:sz w:val="22"/>
          <w:szCs w:val="22"/>
        </w:rPr>
        <w:t>Conclusión.</w:t>
      </w:r>
    </w:p>
    <w:p w:rsidR="00BE570C" w:rsidRPr="0011527A" w:rsidRDefault="00D64EDE" w:rsidP="0011527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1527A">
        <w:rPr>
          <w:sz w:val="22"/>
          <w:szCs w:val="22"/>
        </w:rPr>
        <w:t xml:space="preserve">Existe poca educación respecto a la atención de salud de personas y transgéneros y el trato que deben recibir en los centros de atención sanitarios. La mayoría de los encuestados apoyan el uso de recursos de salud en cuanto a </w:t>
      </w:r>
      <w:r w:rsidR="0011527A" w:rsidRPr="0011527A">
        <w:rPr>
          <w:sz w:val="22"/>
          <w:szCs w:val="22"/>
        </w:rPr>
        <w:t>tratamiento</w:t>
      </w:r>
      <w:r w:rsidRPr="0011527A">
        <w:rPr>
          <w:sz w:val="22"/>
          <w:szCs w:val="22"/>
        </w:rPr>
        <w:t xml:space="preserve"> hormonales en el proceso de transición de género y sexo en este grupo de pacientes.</w:t>
      </w:r>
    </w:p>
    <w:p w:rsidR="00D64EDE" w:rsidRPr="0011527A" w:rsidRDefault="00D64EDE" w:rsidP="001152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527A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11527A">
        <w:rPr>
          <w:rFonts w:ascii="Times New Roman" w:eastAsia="Times New Roman" w:hAnsi="Times New Roman" w:cs="Times New Roman"/>
        </w:rPr>
        <w:t xml:space="preserve">Sin financiamiento </w:t>
      </w:r>
    </w:p>
    <w:sectPr w:rsidR="00D64EDE" w:rsidRPr="0011527A" w:rsidSect="00BE570C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588F"/>
    <w:rsid w:val="0011527A"/>
    <w:rsid w:val="0043588F"/>
    <w:rsid w:val="004E4775"/>
    <w:rsid w:val="00750FB2"/>
    <w:rsid w:val="00BE570C"/>
    <w:rsid w:val="00D64EDE"/>
    <w:rsid w:val="00E5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7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cp:lastPrinted>2018-08-10T16:15:00Z</cp:lastPrinted>
  <dcterms:created xsi:type="dcterms:W3CDTF">2018-08-10T16:15:00Z</dcterms:created>
  <dcterms:modified xsi:type="dcterms:W3CDTF">2018-09-30T21:19:00Z</dcterms:modified>
</cp:coreProperties>
</file>